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CFC6C" w14:textId="77777777" w:rsidR="00384642" w:rsidRDefault="00000000">
      <w:r>
        <w:t>NOTA DE PRENSA</w:t>
      </w:r>
    </w:p>
    <w:p w14:paraId="042C5E4E" w14:textId="77777777" w:rsidR="00384642" w:rsidRDefault="00384642"/>
    <w:p w14:paraId="352A8A1D" w14:textId="77777777" w:rsidR="00384642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Nae publica el Informe sobre el sector de las telecomunicaciones en </w:t>
      </w:r>
      <w:proofErr w:type="spellStart"/>
      <w:r>
        <w:rPr>
          <w:b/>
          <w:bCs/>
          <w:sz w:val="28"/>
          <w:szCs w:val="28"/>
        </w:rPr>
        <w:t>España</w:t>
      </w:r>
      <w:proofErr w:type="spellEnd"/>
      <w:r>
        <w:rPr>
          <w:b/>
          <w:bCs/>
          <w:sz w:val="28"/>
          <w:szCs w:val="28"/>
        </w:rPr>
        <w:t xml:space="preserve"> Q4-2025 #BarómetroTelco </w:t>
      </w:r>
    </w:p>
    <w:p w14:paraId="3C0141B8" w14:textId="77777777" w:rsidR="00384642" w:rsidRDefault="00384642"/>
    <w:p w14:paraId="1742F8C0" w14:textId="77777777" w:rsidR="00384642" w:rsidRDefault="0000000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>El barómetro recoge los indicadores de mercado del sector telco, ofrecidos por los operadores y la Comisión Nacional de los Mercados y la Competencia (CNMC).</w:t>
      </w:r>
    </w:p>
    <w:p w14:paraId="7F4DAD78" w14:textId="77777777" w:rsidR="00384642" w:rsidRDefault="00384642">
      <w:pPr>
        <w:ind w:left="720"/>
        <w:rPr>
          <w:i/>
          <w:iCs/>
        </w:rPr>
      </w:pPr>
    </w:p>
    <w:p w14:paraId="6204DEFC" w14:textId="77777777" w:rsidR="00384642" w:rsidRDefault="00000000">
      <w:r>
        <w:t>Barcelona, 23 de abril de 2026</w:t>
      </w:r>
    </w:p>
    <w:p w14:paraId="6FEB5644" w14:textId="77777777" w:rsidR="00384642" w:rsidRDefault="00000000">
      <w:r>
        <w:br/>
        <w:t xml:space="preserve">La consultora de telecomunicaciones Nae, empresa de </w:t>
      </w:r>
      <w:proofErr w:type="spellStart"/>
      <w:r>
        <w:t>Minsait</w:t>
      </w:r>
      <w:proofErr w:type="spellEnd"/>
      <w:r>
        <w:t xml:space="preserve"> (Indra Group), presenta una nueva edición del Informe sobre el sector de las telecomunicaciones en España, una publicación trimestral que reúne los principales indicadores de mercado del sector telco, a partir de la información ofrecida por los operadores y la Comisión Nacional de los Mercados y la Competencia (CNMC).</w:t>
      </w:r>
    </w:p>
    <w:p w14:paraId="32595E0C" w14:textId="77777777" w:rsidR="00384642" w:rsidRDefault="00384642">
      <w:pPr>
        <w:rPr>
          <w:color w:val="FF9900"/>
        </w:rPr>
      </w:pPr>
    </w:p>
    <w:p w14:paraId="2979C90E" w14:textId="77777777" w:rsidR="00384642" w:rsidRDefault="00000000">
      <w:r>
        <w:t>El objetivo del barómetro es agrupar distintas fuentes de información para identificar tendencias en la evolución del sector y analizar los factores que condicionan su desarrollo.</w:t>
      </w:r>
    </w:p>
    <w:p w14:paraId="4022D7A2" w14:textId="77777777" w:rsidR="00384642" w:rsidRDefault="00384642"/>
    <w:p w14:paraId="13B72883" w14:textId="77777777" w:rsidR="00384642" w:rsidRDefault="00000000">
      <w:r>
        <w:t>El informe está coordinado por Joaquín Guerrero, director de Nae.</w:t>
      </w:r>
    </w:p>
    <w:p w14:paraId="7499E814" w14:textId="77777777" w:rsidR="00384642" w:rsidRDefault="00384642"/>
    <w:p w14:paraId="4F6933D6" w14:textId="3D405F76" w:rsidR="00384642" w:rsidRDefault="00000000">
      <w:r>
        <w:t xml:space="preserve">Puedes descargar el </w:t>
      </w:r>
      <w:r>
        <w:rPr>
          <w:b/>
          <w:bCs/>
        </w:rPr>
        <w:t>#BarómetroTelco Q4-2025</w:t>
      </w:r>
      <w:r>
        <w:t xml:space="preserve"> en </w:t>
      </w:r>
      <w:hyperlink r:id="rId8" w:history="1">
        <w:r w:rsidR="00384642" w:rsidRPr="00322779">
          <w:rPr>
            <w:i/>
            <w:iCs/>
            <w:color w:val="1155CC"/>
            <w:u w:val="single"/>
          </w:rPr>
          <w:t>este enlace</w:t>
        </w:r>
      </w:hyperlink>
      <w:r>
        <w:t xml:space="preserve">. </w:t>
      </w:r>
    </w:p>
    <w:p w14:paraId="11F67A3A" w14:textId="77777777" w:rsidR="00384642" w:rsidRDefault="00384642"/>
    <w:p w14:paraId="37BBC29C" w14:textId="77777777" w:rsidR="00384642" w:rsidRDefault="00000000">
      <w:r>
        <w:t>Estas son las principales conclusiones:</w:t>
      </w:r>
    </w:p>
    <w:p w14:paraId="3925B5B6" w14:textId="77777777" w:rsidR="00384642" w:rsidRDefault="00384642"/>
    <w:p w14:paraId="76B8D531" w14:textId="77777777" w:rsidR="00384642" w:rsidRDefault="00000000">
      <w:pPr>
        <w:numPr>
          <w:ilvl w:val="0"/>
          <w:numId w:val="2"/>
        </w:numPr>
      </w:pPr>
      <w:r>
        <w:t xml:space="preserve">El mercado telco en España cierra 2025 con una mayor intensidad competitiva: la tasa de </w:t>
      </w:r>
      <w:proofErr w:type="spellStart"/>
      <w:r>
        <w:t>churn</w:t>
      </w:r>
      <w:proofErr w:type="spellEnd"/>
      <w:r>
        <w:t xml:space="preserve"> por portabilidad de DIGI se sitúa en el 10,5‰ en diciembre, frente al 8,88‰ de MASORANGE y el 9,96‰ de Vodafone España, mientras Telefónica registra el nivel más bajo entre los principales operadores (3,5‰).</w:t>
      </w:r>
    </w:p>
    <w:p w14:paraId="2BD79CFB" w14:textId="77777777" w:rsidR="00384642" w:rsidRDefault="00384642">
      <w:pPr>
        <w:ind w:left="720"/>
      </w:pPr>
    </w:p>
    <w:p w14:paraId="09AE1D7B" w14:textId="77777777" w:rsidR="00384642" w:rsidRDefault="00000000">
      <w:pPr>
        <w:numPr>
          <w:ilvl w:val="0"/>
          <w:numId w:val="2"/>
        </w:numPr>
      </w:pPr>
      <w:r>
        <w:t>Los ingresos continúan bajo presión, con descensos en el ingreso medio por servicio: el ARPU móvil se sitúa en 12,76 €/mes en Telefónica y en 4,99 €/mes en DIGI, mientras el ingreso medio por línea FTTH cae hasta 17,1 €/mes y el de banda ancha móvil hasta 6,5 €/mes, en línea con la tendencia de los últimos años.</w:t>
      </w:r>
    </w:p>
    <w:p w14:paraId="77ADB86B" w14:textId="77777777" w:rsidR="00384642" w:rsidRDefault="00384642">
      <w:pPr>
        <w:ind w:left="720"/>
      </w:pPr>
    </w:p>
    <w:p w14:paraId="5E88DEAD" w14:textId="413A81B9" w:rsidR="00384642" w:rsidRDefault="00000000">
      <w:pPr>
        <w:numPr>
          <w:ilvl w:val="0"/>
          <w:numId w:val="2"/>
        </w:numPr>
      </w:pPr>
      <w:r>
        <w:t>La fibra óptica mantiene su expansión, alcanzando los 17,8 M de hogares</w:t>
      </w:r>
      <w:r w:rsidR="009C5FAA">
        <w:t xml:space="preserve"> </w:t>
      </w:r>
      <w:r>
        <w:t>conectados, con 24 K altas netas en diciembre, de las cuales en torno a 12 K</w:t>
      </w:r>
      <w:r w:rsidR="009C5FAA">
        <w:t xml:space="preserve"> </w:t>
      </w:r>
      <w:r>
        <w:t>corresponden a migraciones desde redes HFC.</w:t>
      </w:r>
    </w:p>
    <w:p w14:paraId="43D36BCA" w14:textId="77777777" w:rsidR="00384642" w:rsidRDefault="00384642">
      <w:pPr>
        <w:ind w:left="720"/>
      </w:pPr>
    </w:p>
    <w:p w14:paraId="20DAEF2A" w14:textId="77777777" w:rsidR="00384642" w:rsidRDefault="00000000">
      <w:pPr>
        <w:numPr>
          <w:ilvl w:val="0"/>
          <w:numId w:val="2"/>
        </w:numPr>
      </w:pPr>
      <w:r>
        <w:t>La contribución al crecimiento varía entre operadores: DIGI registra 152 K altas netas en el trimestre, frente a 21 K en Telefónica y 7 K en MASORANGE.</w:t>
      </w:r>
    </w:p>
    <w:p w14:paraId="0A15DC61" w14:textId="77777777" w:rsidR="00384642" w:rsidRDefault="00384642">
      <w:pPr>
        <w:ind w:left="720"/>
      </w:pPr>
    </w:p>
    <w:p w14:paraId="03B4189C" w14:textId="77777777" w:rsidR="00384642" w:rsidRDefault="00000000">
      <w:pPr>
        <w:numPr>
          <w:ilvl w:val="0"/>
          <w:numId w:val="2"/>
        </w:numPr>
      </w:pPr>
      <w:r>
        <w:t>El consumo de datos móviles sigue aumentando, con un crecimiento del 18,5 % interanual y un consumo medio de 15,7 GB/mes por cliente, mientras el 5G representa ya el 23 % del tráfico total.</w:t>
      </w:r>
    </w:p>
    <w:p w14:paraId="2F20C1F5" w14:textId="77777777" w:rsidR="00384642" w:rsidRDefault="00000000">
      <w:pPr>
        <w:numPr>
          <w:ilvl w:val="0"/>
          <w:numId w:val="2"/>
        </w:numPr>
      </w:pPr>
      <w:r>
        <w:lastRenderedPageBreak/>
        <w:t>El ecosistema FTTH se vuelve más complejo, con cerca de 79 M de accesos y distintos modelos de propiedad y acuerdos mayoristas; en el último trimestre, los accesos mayoristas se reducen en 36 K líneas, lo que apunta a una evolución más contenida en este segmento.</w:t>
      </w:r>
    </w:p>
    <w:p w14:paraId="16BDB111" w14:textId="77777777" w:rsidR="00384642" w:rsidRDefault="00384642">
      <w:pPr>
        <w:ind w:left="720"/>
      </w:pPr>
    </w:p>
    <w:p w14:paraId="063EA395" w14:textId="77777777" w:rsidR="00384642" w:rsidRDefault="00000000">
      <w:pPr>
        <w:numPr>
          <w:ilvl w:val="0"/>
          <w:numId w:val="2"/>
        </w:numPr>
      </w:pPr>
      <w:r>
        <w:t>El mercado mantiene un perfil altamente convergente, con ratios de clientes móviles sobre fijos de 2,7 en Telefónica, 2,9 en DIGI y superiores a 4 en Vodafone España.</w:t>
      </w:r>
    </w:p>
    <w:p w14:paraId="2C164CC5" w14:textId="77777777" w:rsidR="00384642" w:rsidRDefault="00384642">
      <w:pPr>
        <w:ind w:left="720"/>
      </w:pPr>
    </w:p>
    <w:p w14:paraId="6E8BD989" w14:textId="77777777" w:rsidR="00384642" w:rsidRDefault="00000000">
      <w:pPr>
        <w:numPr>
          <w:ilvl w:val="0"/>
          <w:numId w:val="2"/>
        </w:numPr>
      </w:pPr>
      <w:r>
        <w:t>Los operadores refuerzan la diversificación de ingresos y la eficiencia en la inversión: Telefónica alcanza 184 M€ en ingresos por venta y alquiler de terminales en el Q4-2025, mientras el capex sobre ventas se sitúa en el 12,18 %.</w:t>
      </w:r>
    </w:p>
    <w:p w14:paraId="062550EA" w14:textId="77777777" w:rsidR="00384642" w:rsidRDefault="00384642"/>
    <w:p w14:paraId="609DC2F3" w14:textId="377A6B32" w:rsidR="00384642" w:rsidRDefault="00000000">
      <w:pPr>
        <w:rPr>
          <w:b/>
          <w:bCs/>
          <w:highlight w:val="yellow"/>
        </w:rPr>
      </w:pPr>
      <w:r>
        <w:t xml:space="preserve">En esta edición del barómetro, la sección de análisis aborda </w:t>
      </w:r>
      <w:r>
        <w:rPr>
          <w:b/>
          <w:bCs/>
        </w:rPr>
        <w:t xml:space="preserve">la evolución del FTTH en España, </w:t>
      </w:r>
      <w:r w:rsidR="00CB79D7">
        <w:rPr>
          <w:b/>
          <w:bCs/>
        </w:rPr>
        <w:t>el avance</w:t>
      </w:r>
      <w:r>
        <w:rPr>
          <w:b/>
          <w:bCs/>
        </w:rPr>
        <w:t xml:space="preserve"> del despliegue de fibra y 5G y la presión sobre los ingresos y el gasto medio por cliente.</w:t>
      </w:r>
    </w:p>
    <w:p w14:paraId="1F4CC8FC" w14:textId="77777777" w:rsidR="00384642" w:rsidRDefault="00384642"/>
    <w:p w14:paraId="5FC723D1" w14:textId="77777777" w:rsidR="00384642" w:rsidRDefault="00000000">
      <w:pPr>
        <w:numPr>
          <w:ilvl w:val="0"/>
          <w:numId w:val="2"/>
        </w:numPr>
      </w:pPr>
      <w:r>
        <w:t xml:space="preserve">El nuevo desglose del ecosistema FTTH en España permite una mayor visibilidad del mercado al incorporar operadores previamente agregados, como </w:t>
      </w:r>
      <w:proofErr w:type="spellStart"/>
      <w:r>
        <w:t>PremiumFiber</w:t>
      </w:r>
      <w:proofErr w:type="spellEnd"/>
      <w:r>
        <w:t xml:space="preserve"> (11,8 M de hogares pasados), </w:t>
      </w:r>
      <w:proofErr w:type="spellStart"/>
      <w:r>
        <w:t>Onivia</w:t>
      </w:r>
      <w:proofErr w:type="spellEnd"/>
      <w:r>
        <w:t xml:space="preserve"> (8,5 M), Adamo (3,2 M) y </w:t>
      </w:r>
      <w:proofErr w:type="spellStart"/>
      <w:r>
        <w:t>Elanta</w:t>
      </w:r>
      <w:proofErr w:type="spellEnd"/>
      <w:r>
        <w:t xml:space="preserve"> (3 M), junto a Telefónica (31,3 M) y DIGI (8,2 M), y refleja la diversidad de modelos de red y propiedad.</w:t>
      </w:r>
    </w:p>
    <w:p w14:paraId="75B5F292" w14:textId="77777777" w:rsidR="00384642" w:rsidRDefault="00384642">
      <w:pPr>
        <w:ind w:left="720"/>
      </w:pPr>
    </w:p>
    <w:p w14:paraId="6027CF96" w14:textId="77777777" w:rsidR="00384642" w:rsidRDefault="00000000">
      <w:pPr>
        <w:numPr>
          <w:ilvl w:val="0"/>
          <w:numId w:val="2"/>
        </w:numPr>
      </w:pPr>
      <w:r>
        <w:t xml:space="preserve">El despliegue de fibra alcanza en torno a 79,4 M de sockets: Telefónica incrementa cerca de 100 K hogares por trimestre, mientras DIGI supera los 200 K en áreas vinculadas a acuerdos con </w:t>
      </w:r>
      <w:proofErr w:type="spellStart"/>
      <w:r>
        <w:t>Onivia</w:t>
      </w:r>
      <w:proofErr w:type="spellEnd"/>
      <w:r>
        <w:t xml:space="preserve"> y registra en torno a 120 K en el resto del territorio.</w:t>
      </w:r>
    </w:p>
    <w:p w14:paraId="725393C4" w14:textId="77777777" w:rsidR="00384642" w:rsidRDefault="00384642">
      <w:pPr>
        <w:ind w:left="720"/>
      </w:pPr>
    </w:p>
    <w:p w14:paraId="0B58C416" w14:textId="77777777" w:rsidR="00384642" w:rsidRDefault="00000000">
      <w:pPr>
        <w:numPr>
          <w:ilvl w:val="0"/>
          <w:numId w:val="2"/>
        </w:numPr>
      </w:pPr>
      <w:r>
        <w:t xml:space="preserve">18 actores y 37 tipos de acuerdos (mayoristas, de acceso abierto y minoristas) articulan el mercado FTTH en España, según el </w:t>
      </w:r>
      <w:hyperlink r:id="rId9">
        <w:r w:rsidR="00384642">
          <w:rPr>
            <w:color w:val="1155CC"/>
            <w:u w:val="single"/>
          </w:rPr>
          <w:t>Mapa desarrollado por Nae</w:t>
        </w:r>
      </w:hyperlink>
      <w:r>
        <w:t>.</w:t>
      </w:r>
    </w:p>
    <w:p w14:paraId="67673976" w14:textId="77777777" w:rsidR="00384642" w:rsidRDefault="00384642">
      <w:pPr>
        <w:ind w:left="720"/>
      </w:pPr>
    </w:p>
    <w:p w14:paraId="7E1449EB" w14:textId="77777777" w:rsidR="00384642" w:rsidRDefault="00000000">
      <w:pPr>
        <w:numPr>
          <w:ilvl w:val="0"/>
          <w:numId w:val="2"/>
        </w:numPr>
      </w:pPr>
      <w:r>
        <w:t>En la banda de 3,5 GHz, DIGI alcanza 504 estaciones base tras acelerar su despliegue, frente a 9.653 en Telefónica, 6.154 en MASORANGE y 2.743 en Vodafone España, apoyado en acuerdos de compartición de red.</w:t>
      </w:r>
    </w:p>
    <w:p w14:paraId="6B64A558" w14:textId="77777777" w:rsidR="00384642" w:rsidRDefault="00384642">
      <w:pPr>
        <w:ind w:left="720"/>
      </w:pPr>
    </w:p>
    <w:p w14:paraId="0F280D3E" w14:textId="77777777" w:rsidR="00384642" w:rsidRDefault="00000000">
      <w:pPr>
        <w:numPr>
          <w:ilvl w:val="0"/>
          <w:numId w:val="2"/>
        </w:numPr>
      </w:pPr>
      <w:r>
        <w:t>Los ingresos presentan descensos generalizados, con caídas interanuales en servicios móviles de hasta el -12,2 % en DIGI y del -5,2 % en MASORANGE, mientras Telefónica se mantiene en niveles cercanos a la estabilidad (-0,2 %); en servicios fijos, los descensos se sitúan entre el -2,7 % y el -6,6 %.</w:t>
      </w:r>
    </w:p>
    <w:p w14:paraId="0E90C923" w14:textId="77777777" w:rsidR="00384642" w:rsidRDefault="00384642">
      <w:pPr>
        <w:ind w:left="720"/>
      </w:pPr>
    </w:p>
    <w:p w14:paraId="6380ED60" w14:textId="77777777" w:rsidR="00384642" w:rsidRDefault="00000000">
      <w:pPr>
        <w:numPr>
          <w:ilvl w:val="0"/>
          <w:numId w:val="2"/>
        </w:numPr>
      </w:pPr>
      <w:r>
        <w:t xml:space="preserve">Los ingresos </w:t>
      </w:r>
      <w:proofErr w:type="spellStart"/>
      <w:r>
        <w:t>core</w:t>
      </w:r>
      <w:proofErr w:type="spellEnd"/>
      <w:r>
        <w:t xml:space="preserve"> de la industria retroceden en torno a un -1,9 % en 2025: el crecimiento en el número de clientes no compensa la caída del ingreso medio, que desciende un -6,2 % en servicios fijos y un -4,6 % en móviles.</w:t>
      </w:r>
    </w:p>
    <w:p w14:paraId="641F556A" w14:textId="77777777" w:rsidR="00384642" w:rsidRDefault="00384642">
      <w:pPr>
        <w:ind w:left="720"/>
      </w:pPr>
    </w:p>
    <w:p w14:paraId="211C9FAC" w14:textId="77777777" w:rsidR="00384642" w:rsidRDefault="00000000">
      <w:pPr>
        <w:numPr>
          <w:ilvl w:val="0"/>
          <w:numId w:val="2"/>
        </w:numPr>
      </w:pPr>
      <w:r>
        <w:t>El gasto medio por cliente se sitúa en 24,59 €/mes en servicios fijos y en 10,22 €/mes por línea móvil.</w:t>
      </w:r>
    </w:p>
    <w:p w14:paraId="62264CFE" w14:textId="77777777" w:rsidR="00384642" w:rsidRDefault="00384642">
      <w:pPr>
        <w:rPr>
          <w:b/>
          <w:bCs/>
        </w:rPr>
      </w:pPr>
    </w:p>
    <w:p w14:paraId="72649F5C" w14:textId="77777777" w:rsidR="00384642" w:rsidRDefault="00384642">
      <w:pPr>
        <w:rPr>
          <w:b/>
          <w:bCs/>
        </w:rPr>
      </w:pPr>
    </w:p>
    <w:p w14:paraId="19428CA0" w14:textId="77777777" w:rsidR="00384642" w:rsidRDefault="00000000">
      <w:pPr>
        <w:rPr>
          <w:b/>
          <w:bCs/>
        </w:rPr>
      </w:pPr>
      <w:r>
        <w:rPr>
          <w:b/>
          <w:bCs/>
        </w:rPr>
        <w:t>Acerca de Nae</w:t>
      </w:r>
    </w:p>
    <w:p w14:paraId="2919A7E0" w14:textId="77777777" w:rsidR="00384642" w:rsidRDefault="00000000">
      <w:r>
        <w:t xml:space="preserve"> </w:t>
      </w:r>
    </w:p>
    <w:p w14:paraId="5849F65E" w14:textId="77777777" w:rsidR="00384642" w:rsidRDefault="00000000">
      <w:r>
        <w:t>En Nae (</w:t>
      </w:r>
      <w:hyperlink r:id="rId10">
        <w:r w:rsidR="00384642">
          <w:rPr>
            <w:color w:val="0000FF"/>
            <w:u w:val="single"/>
          </w:rPr>
          <w:t>www.nae.global</w:t>
        </w:r>
      </w:hyperlink>
      <w:r>
        <w:t xml:space="preserve">) perseguimos provocar el cambio retando y acompañando en la transformación de las telecomunicaciones, de manera personal y cercana, mediante una consultoría de principio a fin.  </w:t>
      </w:r>
    </w:p>
    <w:p w14:paraId="287D649E" w14:textId="77777777" w:rsidR="00384642" w:rsidRDefault="00000000">
      <w:r>
        <w:t xml:space="preserve"> </w:t>
      </w:r>
    </w:p>
    <w:p w14:paraId="6D89CD86" w14:textId="77777777" w:rsidR="00384642" w:rsidRDefault="00000000">
      <w:r>
        <w:t xml:space="preserve">Llevamos más de 20 años desarrollando proyectos de telecomunicaciones por todo el mundo, trabajando codo con codo para acompañar a construir el camino y hacer equipo con cualquier persona relacionada con los proyectos en los que participamos. Acompañamos a nuestros clientes en la toma de decisiones estratégicas para incrementar su valor, superando juntos los retos del negocio, desde la definición estratégica hasta la implementación de las acciones. </w:t>
      </w:r>
    </w:p>
    <w:p w14:paraId="5A9E7C7F" w14:textId="77777777" w:rsidR="00384642" w:rsidRDefault="00000000">
      <w:r>
        <w:t xml:space="preserve"> </w:t>
      </w:r>
    </w:p>
    <w:p w14:paraId="0D1B06DB" w14:textId="77777777" w:rsidR="00384642" w:rsidRDefault="00000000">
      <w:r>
        <w:t>Con un equipo de 400 profesionales, contamos con ‘</w:t>
      </w:r>
      <w:proofErr w:type="spellStart"/>
      <w:r>
        <w:t>hubs</w:t>
      </w:r>
      <w:proofErr w:type="spellEnd"/>
      <w:r>
        <w:t xml:space="preserve">’ en España, desde donde abordamos proyectos en Europa, y en Colombia, desde donde gestionamos la actividad en Latinoamérica. Creemos que las cosas no deben hacerse siempre igual y que, con creatividad e innovación, podemos conseguir resultados increíbles. </w:t>
      </w:r>
    </w:p>
    <w:p w14:paraId="60E2B68E" w14:textId="77777777" w:rsidR="00384642" w:rsidRDefault="00000000">
      <w:r>
        <w:t xml:space="preserve"> </w:t>
      </w:r>
    </w:p>
    <w:p w14:paraId="74824BDC" w14:textId="77777777" w:rsidR="00384642" w:rsidRDefault="00000000">
      <w:r>
        <w:t>#DareToGoBeyond</w:t>
      </w:r>
      <w:r>
        <w:br/>
      </w:r>
    </w:p>
    <w:p w14:paraId="45A534CD" w14:textId="77777777" w:rsidR="00384642" w:rsidRDefault="00000000">
      <w:pPr>
        <w:rPr>
          <w:b/>
          <w:bCs/>
        </w:rPr>
      </w:pPr>
      <w:r>
        <w:rPr>
          <w:b/>
          <w:bCs/>
        </w:rPr>
        <w:t xml:space="preserve">Acerca de </w:t>
      </w:r>
      <w:proofErr w:type="spellStart"/>
      <w:r>
        <w:rPr>
          <w:b/>
          <w:bCs/>
        </w:rPr>
        <w:t>Minsait</w:t>
      </w:r>
      <w:proofErr w:type="spellEnd"/>
    </w:p>
    <w:p w14:paraId="6DE77C4E" w14:textId="77777777" w:rsidR="00384642" w:rsidRDefault="00000000">
      <w:r>
        <w:t xml:space="preserve"> </w:t>
      </w:r>
    </w:p>
    <w:p w14:paraId="6498A263" w14:textId="77777777" w:rsidR="00384642" w:rsidRDefault="00000000">
      <w:proofErr w:type="spellStart"/>
      <w:r>
        <w:t>Minsait</w:t>
      </w:r>
      <w:proofErr w:type="spellEnd"/>
      <w:r>
        <w:t xml:space="preserve"> (</w:t>
      </w:r>
      <w:hyperlink r:id="rId11">
        <w:r w:rsidR="00384642">
          <w:rPr>
            <w:color w:val="0000FF"/>
            <w:u w:val="single"/>
          </w:rPr>
          <w:t>www.minsait.com</w:t>
        </w:r>
      </w:hyperlink>
      <w:r>
        <w:t xml:space="preserve">) es la compañía del Grupo Indra líder en nuevos entornos digitales y tecnologías disruptivas. Presenta un alto grado de especialización, amplia experiencia en el negocio tecnológico avanzado, conocimiento sectorial y un talento multidisciplinar formado por miles de profesionales en todo el mundo. </w:t>
      </w:r>
      <w:proofErr w:type="spellStart"/>
      <w:r>
        <w:t>Minsait</w:t>
      </w:r>
      <w:proofErr w:type="spellEnd"/>
      <w:r>
        <w:t xml:space="preserve"> está a la vanguardia de la nueva digitalización con capacidades punteras en inteligencia artificial, </w:t>
      </w:r>
      <w:proofErr w:type="spellStart"/>
      <w:r>
        <w:t>cloud</w:t>
      </w:r>
      <w:proofErr w:type="spellEnd"/>
      <w:r>
        <w:t>, ciberseguridad y otras tecnologías transformadoras. Con ello, impulsa los negocios y genera grandes impactos en la sociedad, gracias a una oferta digital de servicios de alto valor añadido, soluciones conectadas a medida para todos los ámbitos de actividad y acuerdos con los socios más relevantes del mercado.</w:t>
      </w:r>
    </w:p>
    <w:p w14:paraId="4E9A98F0" w14:textId="77777777" w:rsidR="00384642" w:rsidRDefault="00000000">
      <w:pPr>
        <w:rPr>
          <w:b/>
          <w:bCs/>
        </w:rPr>
      </w:pPr>
      <w:r>
        <w:rPr>
          <w:b/>
          <w:bCs/>
        </w:rPr>
        <w:t xml:space="preserve"> </w:t>
      </w:r>
    </w:p>
    <w:p w14:paraId="1BEA1B63" w14:textId="77777777" w:rsidR="00384642" w:rsidRDefault="00000000">
      <w:pPr>
        <w:rPr>
          <w:b/>
          <w:bCs/>
        </w:rPr>
      </w:pPr>
      <w:r>
        <w:rPr>
          <w:b/>
          <w:bCs/>
        </w:rPr>
        <w:t>Acerca de Indra Group</w:t>
      </w:r>
    </w:p>
    <w:p w14:paraId="7F296387" w14:textId="77777777" w:rsidR="00384642" w:rsidRDefault="00000000">
      <w:r>
        <w:t xml:space="preserve"> </w:t>
      </w:r>
    </w:p>
    <w:p w14:paraId="259AA26B" w14:textId="65DEE48C" w:rsidR="00C2114B" w:rsidRDefault="00000000" w:rsidP="00C2114B">
      <w:r>
        <w:t>Indra Group (</w:t>
      </w:r>
      <w:hyperlink r:id="rId12">
        <w:r w:rsidR="00384642">
          <w:rPr>
            <w:color w:val="0000FF"/>
            <w:u w:val="single"/>
          </w:rPr>
          <w:t>www.indragroup.com</w:t>
        </w:r>
      </w:hyperlink>
      <w:r>
        <w:t xml:space="preserve">) es la multinacional española de referencia y una de las principales compañías de Europa de defensa y digitalización avanzada. Tiene una posición de liderazgo en los negocios de defensa, espacio, gestión del tráfico aéreo, movilidad y tecnologías transformadoras, a través de </w:t>
      </w:r>
      <w:proofErr w:type="spellStart"/>
      <w:r>
        <w:t>Minsait</w:t>
      </w:r>
      <w:proofErr w:type="spellEnd"/>
      <w:r>
        <w:t xml:space="preserve">, e integra en </w:t>
      </w:r>
      <w:proofErr w:type="spellStart"/>
      <w:r>
        <w:t>IndraMind</w:t>
      </w:r>
      <w:proofErr w:type="spellEnd"/>
      <w:r>
        <w:t xml:space="preserve"> sus capacidades de IA soberana, ciberseguridad y ciberdefensa. Indra Group impulsa un futuro más seguro y conectado a través de soluciones innovadoras, relaciones de confianza y el mejor talento. La sostenibilidad forma parte de su estrategia y de su cultura, para dar respuesta a los retos sociales y ambientales presentes y futuros. A cierre del ejercicio 2025, Indra Group tuvo unos ingresos de 5.457 millones de euros,</w:t>
      </w:r>
      <w:r>
        <w:rPr>
          <w:b/>
          <w:bCs/>
        </w:rPr>
        <w:t xml:space="preserve"> </w:t>
      </w:r>
      <w:r>
        <w:t>presencia local en 46 países y operaciones comerciales en más de 140 países.</w:t>
      </w:r>
    </w:p>
    <w:p w14:paraId="47D01DAA" w14:textId="0395986E" w:rsidR="00384642" w:rsidRDefault="00384642"/>
    <w:sectPr w:rsidR="00384642">
      <w:headerReference w:type="defaul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301E7" w14:textId="77777777" w:rsidR="0067407A" w:rsidRDefault="0067407A">
      <w:pPr>
        <w:spacing w:line="240" w:lineRule="auto"/>
      </w:pPr>
      <w:r>
        <w:separator/>
      </w:r>
    </w:p>
  </w:endnote>
  <w:endnote w:type="continuationSeparator" w:id="0">
    <w:p w14:paraId="4DAE8ADD" w14:textId="77777777" w:rsidR="0067407A" w:rsidRDefault="006740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swiss"/>
    <w:pitch w:val="variable"/>
    <w:sig w:usb0="E00002FF" w:usb1="4000201F" w:usb2="08000029" w:usb3="00000000" w:csb0="0000019F" w:csb1="00000000"/>
    <w:embedRegular r:id="rId1" w:fontKey="{0BA8C314-A851-4CD4-8D7E-C38469FF51A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9B481A9-5222-4470-A868-61135D60CC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001FC72-2295-43D9-914F-FD287FAD54A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2D0F5" w14:textId="77777777" w:rsidR="0067407A" w:rsidRDefault="0067407A">
      <w:pPr>
        <w:spacing w:line="240" w:lineRule="auto"/>
      </w:pPr>
      <w:r>
        <w:separator/>
      </w:r>
    </w:p>
  </w:footnote>
  <w:footnote w:type="continuationSeparator" w:id="0">
    <w:p w14:paraId="7D69D032" w14:textId="77777777" w:rsidR="0067407A" w:rsidRDefault="006740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08547" w14:textId="77777777" w:rsidR="00384642" w:rsidRDefault="00000000">
    <w:r>
      <w:rPr>
        <w:noProof/>
      </w:rPr>
      <w:drawing>
        <wp:inline distT="114300" distB="114300" distL="114300" distR="114300" wp14:anchorId="4FEAD6FC" wp14:editId="7F46736F">
          <wp:extent cx="1138238" cy="49267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8238" cy="492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625D7A0" w14:textId="77777777" w:rsidR="00384642" w:rsidRDefault="003846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65F0C"/>
    <w:multiLevelType w:val="multilevel"/>
    <w:tmpl w:val="3FAE45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B53B75"/>
    <w:multiLevelType w:val="multilevel"/>
    <w:tmpl w:val="91945A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869627">
    <w:abstractNumId w:val="1"/>
  </w:num>
  <w:num w:numId="2" w16cid:durableId="1328753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42"/>
    <w:rsid w:val="0001396A"/>
    <w:rsid w:val="0026416E"/>
    <w:rsid w:val="00322779"/>
    <w:rsid w:val="00384642"/>
    <w:rsid w:val="004F0B24"/>
    <w:rsid w:val="0067407A"/>
    <w:rsid w:val="007C2248"/>
    <w:rsid w:val="009C5FAA"/>
    <w:rsid w:val="00AB25BD"/>
    <w:rsid w:val="00C1790E"/>
    <w:rsid w:val="00C2114B"/>
    <w:rsid w:val="00CB79D7"/>
    <w:rsid w:val="00FF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22B96"/>
  <w15:docId w15:val="{3CACC58E-A701-C141-AB85-D49DC8A7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32277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227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tocms-assets.com/44777/1776938765-nae-barometrotelco-2025-q4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dragroup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sait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ae.glob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e.global/es/presentamos-primer-mapa-ecosistema-ftth-en-espana-not-mdfabr26/?utm_source=ndp&amp;utm_medium=email&amp;utm_campaign=bartel&amp;utm_content=abril_26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xSg/XxhjftTP0SqnT15UjIBLvQ==">CgMxLjA4AHIhMVpQckM4VFhDOEI0aE5Nekk0bGVfeUY0WjI3bS1jZ1NP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1247</Words>
  <Characters>6427</Characters>
  <Application>Microsoft Office Word</Application>
  <DocSecurity>0</DocSecurity>
  <Lines>153</Lines>
  <Paragraphs>47</Paragraphs>
  <ScaleCrop>false</ScaleCrop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Miranda Rufo, Virginia</cp:lastModifiedBy>
  <cp:revision>2</cp:revision>
  <dcterms:created xsi:type="dcterms:W3CDTF">2026-04-23T14:13:00Z</dcterms:created>
  <dcterms:modified xsi:type="dcterms:W3CDTF">2026-04-23T14:13:00Z</dcterms:modified>
</cp:coreProperties>
</file>